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1F" w:rsidRPr="00F64B1F" w:rsidRDefault="00F64B1F" w:rsidP="00F6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0" w:name="HEADER1_BEGIN"/>
      <w:bookmarkStart w:id="1" w:name="_GoBack"/>
      <w:bookmarkEnd w:id="0"/>
      <w:bookmarkEnd w:id="1"/>
      <w:r w:rsidRPr="00F64B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5" style="width:0;height:1.5pt" o:hralign="center" o:hrstd="t" o:hr="t" fillcolor="#a0a0a0" stroked="f"/>
        </w:pict>
      </w:r>
    </w:p>
    <w:tbl>
      <w:tblPr>
        <w:tblW w:w="44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8"/>
        <w:gridCol w:w="4139"/>
      </w:tblGrid>
      <w:tr w:rsidR="00F64B1F" w:rsidRPr="00F64B1F" w:rsidTr="00F64B1F">
        <w:trPr>
          <w:tblCellSpacing w:w="7" w:type="dxa"/>
        </w:trPr>
        <w:tc>
          <w:tcPr>
            <w:tcW w:w="2250" w:type="pct"/>
            <w:noWrap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hu-HU" w:eastAsia="hu-HU"/>
              </w:rPr>
              <w:t>Biztonságtechnikai Adatlap</w:t>
            </w:r>
          </w:p>
        </w:tc>
        <w:tc>
          <w:tcPr>
            <w:tcW w:w="2250" w:type="pct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Az Európai Közösség 1907/2006/EK rendelet II. melléklete (Art. 31) </w:t>
            </w:r>
          </w:p>
        </w:tc>
      </w:tr>
    </w:tbl>
    <w:p w:rsidR="00F64B1F" w:rsidRPr="00F64B1F" w:rsidRDefault="00F64B1F" w:rsidP="00F6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64B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6" style="width:0;height:1.5pt" o:hralign="center" o:hrstd="t" o:hr="t" fillcolor="#a0a0a0" stroked="f"/>
        </w:pict>
      </w:r>
    </w:p>
    <w:tbl>
      <w:tblPr>
        <w:tblW w:w="44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991"/>
        <w:gridCol w:w="1787"/>
        <w:gridCol w:w="2471"/>
      </w:tblGrid>
      <w:tr w:rsidR="00F64B1F" w:rsidRPr="00F64B1F" w:rsidTr="00F64B1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Termék neve: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COCKPIT MATT PRO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Felülvizsgálat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29.06.17 </w:t>
            </w:r>
            <w:proofErr w:type="gramStart"/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Version :</w:t>
            </w:r>
            <w:proofErr w:type="gramEnd"/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 xml:space="preserve"> 1.1</w:t>
            </w:r>
          </w:p>
        </w:tc>
      </w:tr>
      <w:tr w:rsidR="00F64B1F" w:rsidRPr="00F64B1F" w:rsidTr="00F64B1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Ref. sz.: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BDS001904_15_20170629 (HU)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 w:eastAsia="hu-HU"/>
              </w:rPr>
              <w:t>Kibocsátás dátuma: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  <w:r w:rsidRPr="00F64B1F">
              <w:rPr>
                <w:rFonts w:ascii="Arial" w:eastAsia="Times New Roman" w:hAnsi="Arial" w:cs="Arial"/>
                <w:sz w:val="20"/>
                <w:szCs w:val="20"/>
                <w:lang w:val="hu-HU" w:eastAsia="hu-HU"/>
              </w:rPr>
              <w:t>BDS001904_20161024</w:t>
            </w:r>
          </w:p>
        </w:tc>
      </w:tr>
    </w:tbl>
    <w:p w:rsidR="00F64B1F" w:rsidRPr="00F64B1F" w:rsidRDefault="00F64B1F" w:rsidP="00F6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64B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pict>
          <v:rect id="_x0000_i1027" style="width:0;height:1.5pt" o:hralign="center" o:hrstd="t" o:hr="t" fillcolor="#a0a0a0" stroked="f"/>
        </w:pict>
      </w:r>
    </w:p>
    <w:p w:rsidR="00F64B1F" w:rsidRPr="00F64B1F" w:rsidRDefault="00F64B1F" w:rsidP="00F64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bookmarkStart w:id="2" w:name="HEADER1_END"/>
      <w:bookmarkEnd w:id="2"/>
      <w:r w:rsidRPr="00F64B1F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 </w:t>
      </w: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06"/>
      </w:tblGrid>
      <w:tr w:rsidR="00F64B1F" w:rsidRPr="00F64B1F" w:rsidTr="00F64B1F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1. SZAKASZ: Az anyag/keverék és a vállalat/vállalkozás azonosítása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1.1. Termékazonosító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COCKPIT MATT PRO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1.2. Az anyag vagy keverék megfelelő azonosított felhasználása, illetve ellenjavallt felhasználása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Gépjárműápolás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1.3. A biztonsági adatlap szállítójának adatai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bvba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Touwslagerstraat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1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9240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Zele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Belgium 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Tel.: +32(0)52/45.60.11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Fax.: +32(0)52/45.00.34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E-mail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hse@crcind.com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3642"/>
              <w:gridCol w:w="1371"/>
              <w:gridCol w:w="1351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Leányvállalatok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Fax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Finland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Oy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Laurinkatu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57 A 23 B, 08100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Lohja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+358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/(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19)32.921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France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6,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avenue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du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marais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, C.S. 90028, 95102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Argenteuil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Cedex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01.34.11.09.96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Deutschland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GmbH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Südring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9, D-76473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Iffezheim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 303 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(07229)30 32 66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CRC INDUSTRIES IBERIA S.L.U.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GREMIO DEL CUERO-PARC.96, POLIGONO INDUSTR. DE HONTORIA, 40195 SEGOVIA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0034/921.427.546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0034/921.436.270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CRC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Industries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Sweden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Laxfiskevägen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 16, 433 38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Partille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0046/31 706 84 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0046/31 27 39 91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1.4. Sürgősségi telefonszám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CRC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Industries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Europe, Belgium</w:t>
                  </w: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 Tel.: +32(0)52/45.60.11 (Nyitvatartási időben)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Magyarország</w:t>
                  </w: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: +36 80 20 11 99 Egészségügyi Toxikológiai Tájékoztató Szolgálat (ETTSZ) Nagyvárad tér 2, 1096 Budapest 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2. SZAKASZ: A veszély meghatározása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2.1. Az anyag vagy keverék osztályozása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osztályozás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Fizikai: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aeroszolok, 1.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Rendkívül tűzveszélyes aeroszol.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edényben túlnyomás uralkodik: hő hatására megrepedhet.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tesztelésre alapozva.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Egészség: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Bőrirritáció, 2.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Célszervi toxicitás – egyszeri expozíció, 3.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Besorolás számítási módszer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2.2. Címkézési elemek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Az 1272/2008/EK rendeletnek megfelelő címkézés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Termékazonosító: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Összetétele: 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szénhidrogének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9"/>
              <w:gridCol w:w="1384"/>
              <w:gridCol w:w="1384"/>
              <w:gridCol w:w="1384"/>
              <w:gridCol w:w="1384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Veszélyt jelző piktogram(ok):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4" name="Kép 4" descr="http://www.crcind.com/wwwcrc/images/GHS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crcind.com/wwwcrc/images/GHS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3" name="Kép 3" descr="http://www.crcind.com/wwwcrc/images/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rcind.com/wwwcrc/images/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476250" cy="476250"/>
                        <wp:effectExtent l="0" t="0" r="0" b="0"/>
                        <wp:docPr id="2" name="Kép 2" descr="http://www.crcind.com/wwwcrc/images/GHS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crcind.com/wwwcrc/images/GHS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Figyelmeztetés: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Figyelmeztető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222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Rendkívül tűzveszélyes aeroszol.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229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edényben túlnyomás uralkodik: hő hatására megrepedhet.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Óvintézkedésre vonatkozó mondat(ok):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102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Gyermekektől elzárva tartandó.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210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Hőtől, forró felületektől, szikrától, nyílt lángtól és más gyújtóforrástól távol tartandó. Tilos a dohányzás.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211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Tilos nyílt lángra vagy más gyújtóforrásra permetezni.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251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Ne lyukassza ki vagy égesse el, még használat után sem.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261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Kerülje a por/füst/gáz/köd/gőzök/permet belélegzését.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271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Kizárólag szabadban vagy jól szellőző helyiségben használható.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P410/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412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Napfénytől védendő. Nem érheti 50°C/122°F hőmérsékletet meghaladó hő.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hu-HU" w:eastAsia="hu-HU"/>
                    </w:rPr>
                  </w:pP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P501-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Az anyagot/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edényzetet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engedélyezett hulladékgyűjtő helyre kell vinni.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Kiegészítő figyelmeztető információ: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2.3. Egyéb veszélyek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3. SZAKASZ: Összetétel vagy az összetevőkre vonatkozó adatok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3.1. Anyagok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3.2. Keverékek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7"/>
              <w:gridCol w:w="1101"/>
              <w:gridCol w:w="461"/>
              <w:gridCol w:w="434"/>
              <w:gridCol w:w="354"/>
              <w:gridCol w:w="1146"/>
              <w:gridCol w:w="2151"/>
              <w:gridCol w:w="469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Regisztrációs 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EC-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nr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w/w %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Veszélyességi osztály és kategória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Figyelmeztető mondat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01-2119459286-30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203-692-4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STOT SE 3,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304,H336,H411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6,isoalkanes,&lt; 5% n-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01-2119484651-34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(931-254-9)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25-50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Flam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Liq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Skin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Irrit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2, STOT SE 3,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Asp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Tox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. 1,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Aquatic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Chronic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225,H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315,H336,H304,H411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204-696-9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2.5-10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Nyom. alatt lévő gáz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H280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A,G</w:t>
                  </w:r>
                  <w:proofErr w:type="gramEnd"/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91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Megj. értelmezése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A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vegyi anyag Közösségi előírások szerint betartandó foglalkozási expozíciós határa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G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kivételt képez az 1907/2006 sz. REACH rendelet 2(7) pontja értelmében a regisztrációs kötelezettség alól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Q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A CAS szám csak egy jelző azonosító, melyet az EU országokon kívül használnak világszintű raktárkészlet nyilvántartás céljára. 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(*Figyelmeztetések magyarázata: ld. 16. Fejezet)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4. SZAKASZ: Elsősegélynyújtás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4.1. Az elsősegély-nyújtási intézkedések ismertetése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szembe kerül: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szemmel érintkezik az anyag, azonnal öblítse bő vízzel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szemirritáció nem múlik el: orvosi ellátást kell kérni.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Ha bőrrel érintkezik: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szennyezett ruhát le kell vetni és az újbóli használat előtt ki kell mosni.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BŐRRE KERÜL: Lemosás bő szappanos vízzel.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Bőrirritáció esetén: orvosi ellátást kell kérni.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Belélegzéskor: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BELÉLEGZÉS ESETÉN: Az érintett személyt friss levegőre kell vinni és olyan nyugalmi testhelyzetbe kell helyezni, hogy könnyen tudjon lélegezni.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 forduljon TOXIKOLÓGIAI KÖZPONTHOZ vagy orvoshoz.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Lenyelés esetén tilos hánytatni a beteget, mert az aspirációval a tüdőbe juthat. Ha aspiráció jelentkezik, azonnal forduljon orvoshoz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4.2. A legfontosabb – akut és késleltetett – tünetek és hatások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 gőzének nagy mértékű belélegzése hányingert, fejfájást és szédülést okozhat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torokgyulladás, hasfájás, hányinger, hányás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Tünetek: pirosság és fájdalom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4.3. A szükséges azonnali orvosi ellátás és különleges ellátás jelzése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Általános tanács: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Rosszullét esetén, forduljon orvoshoz (ha lehetséges mutassa meg a címkét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tünetek nem múlnak, forduljon orvoshoz.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5. SZAKASZ: Tűzvédelmi intézkedések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5.1. Oltóanyag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hab, karbondioxid vagy száraz oltóanyag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5.2. Az anyagból vagy a keverékből származó különleges veszélyek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 50°C feletti hőmérsékleten felrobbanhat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Veszélyes bomlástermékek keletkeznek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5.3. Tűzoltóknak szóló javaslat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az edényt tűz érte, hűtse le vízzel.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Tűz esetén nem szabad a füstöt belélegezni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6. SZAKASZ: Intézkedések véletlenszerű expozíciónál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6.1. Személyi óvintézkedések, egyéni védőeszközök és vészhelyzeti eljárások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Zárjon ki minden gyulladásra alkalmat 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adó forrást</w:t>
                  </w:r>
                  <w:proofErr w:type="gram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védőruházatot és kesztyűt kell viselni.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6.2. Környezetvédelmi óvintézkedések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Előzze meg, hogy csatornába vagy folyóba menjen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6.3. A területi elhatárolás és a szennyezésmentesítés módszerei és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anyagai</w:t>
                  </w:r>
                  <w:proofErr w:type="spellEnd"/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Kiömléskor használjon megfelelő semlegesítő anyagot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6.4. Hivatkozás más szakaszokra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További információt a 8-as bekezdésben talál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7. SZAKASZ: Kezelés és tárolás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7.1. A biztonságos kezelésre irányuló óvintézkedések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készüléket földelni kell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Robbanásbiztos elektromos/szellőztető/világító/.../berendezés használandó.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Szikramentes eszközök használandók.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aeroszolt vagy gőzt nem szabad belélegezni.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 bőrrel való érintkezést és a szembejutást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Alaposan mossa le használat után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Védőkesztyű/védőruha/szemvédő/arcvédő használata kötelező.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7.2. A biztonságos tárolás feltételei, az esetleges összeférhetetlenséggel együtt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 tartály: védje a napfénytől és ne tegye ki 50°C-ot meghaladó hőmérsékletnek.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Gyermekek kezébe nem kerülhet.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7.3. Meghatározott végfelhasználás (végfelhasználások)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Gépjárműápolás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8. SZAKASZ: Az expozíció ellenőrzése/egyéni védelem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8.1. Ellenőrzési paraméterek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Expozíciós határértékek: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306"/>
              <w:gridCol w:w="1044"/>
              <w:gridCol w:w="696"/>
              <w:gridCol w:w="1164"/>
              <w:gridCol w:w="81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EU által meghatározott expozíciós határértékek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1000 ppm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STEL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1800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 xml:space="preserve">Országosan meghatározott expozíciós értékek, Hungary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2950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Szén-dioxid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124-38-9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TWA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9000 mg/m3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8.2. Az expozíció ellenőrzése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Ellenőrzési eljárások: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és gyújtóforrástól távol tartandó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Sztatikus feltöltődés ellen védekezni kell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Egyéni védelem: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Használat során tegyen óvintézkedéseket a bőrrel és szemmel való érintkezés elkerülése érdekében.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terméket minden esetben a jó ipari higiéniai gyakorlatoknak megfelelően kell kezelni és használni. 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Biztosítsa a megfelelő szellőzést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 a szellőzés elégtelen, megfelelő légzőkészüléket kell használni.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légzésvédelem: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Szerves gáz vagy gőz szűrőbetéttel felszerelt szűrővel ellátott légzőkészülék (A vagy AX típus) 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kézzel és 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védőkesztyűt kell viselni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Használjon legalább 30 perces áteresztési idővel rendelkező, többször használatos kesztyűt. A kesztyű áteresztési idejének nagyobbnak kell lennie, mint a termék teljes használati ideje. Ha a munkafolyamat tovább tart, mint az áteresztési idő, akkor a kesztyűt ki kell cserélni a munka befejezése előtt.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Javasolt kesztyű: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nitril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Védőszemüveget kell viselni szabvány szerint EN 166.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Környezeti expozíció-ellenőrzések: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Kerülni kell az anyagnak a környezetbe való kijutását.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kiömlött anyagot össze kell gyűjteni.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9. SZAKASZ: Fizikai és kémiai tulajdonságok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9.1. Az alapvető fizikai és kémiai tulajdonságokra vonatkozó információ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(hajtógáz nélküli értékek)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Megjelenési forma: fizikai állapot: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CO2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hajtógázas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folyadék.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szín: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Színtelen.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Citrus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pH érték: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Forrási pont/skála: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40-65 °C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Gyulladási pont: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&lt; 0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°C (Zárt tégely)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Párolgási sebesség: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Robbanási határok: felső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alsó robbanási határ: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Gőznyomás: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elérhető.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Relatív sűrűség: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0.66 g/cm3 (@ 20°C).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Vízben való oldhatóság: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Vízben nem oldódó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Öngyulladás: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&gt; 200 °C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Viszkozitás: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9.2. Egyéb információk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VOC: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596 g/l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10. SZAKASZ: Stabilitás és reakciókészség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10.1. Reakciókészség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10.2. Kémiai stabilitás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Stabil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10.3. A veszélyes reakciók lehetősége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Nincsenek ismert veszélyes reakciók rendeltetésszerű használat esetén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10.4. Kerülendő körülmények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Hőhatástól óvja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10.5. Nem összeférhető anyagok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Erős oxidálószer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10.6. Veszélyes bomlástermékek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CO,CO2</w:t>
                  </w:r>
                  <w:proofErr w:type="gramEnd"/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11. SZAKASZ: Toxikológiai adatok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11.1. A toxikológiai hatásokra vonatkozó információ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akut toxicitás: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bőrkorrózió/bőrirritáció: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Bőrirritáló hatású.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5411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súlyos szemkárosodás/szemirritáció: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légzőszervi vagy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bőrszenzibilizáció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csírasejt-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mutagenitás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rákkeltő hatás: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reprodukciót károsító tulajdonság: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egyetlen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Álmosságot vagy szédülést okozhat.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ismétlődő expozíció utáni célszervi toxicitás (STOT):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aspirációs veszély: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rendelkezésre álló adatok alapján az osztályozás kritériumai nem teljesülnek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A valószínű expozíciós útra vonatkozó információ: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Belégzéskor: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oldószeres gőzök belélegzése hányingert, fejfájást és szédülést okozhat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Lenyeléskor: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lenyelt termék kihányása után aspirációval a tüdőbe juthat. Az oldószerek kémiai tüdőgyulladást okozhatnak.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Bőrrel való érintkezéskor: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Bőrizgató hatású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Szembejutáskor: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Irritációt okozhat.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Toxikológiai adatok: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50"/>
              <w:gridCol w:w="970"/>
              <w:gridCol w:w="2419"/>
              <w:gridCol w:w="1177"/>
              <w:gridCol w:w="7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pentane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109-66-0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3000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6,isoalkanes,&lt; 5% n-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LD50 szájon át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5000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belégzésnél patkányon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20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LD50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dermálisan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 nyúlon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3000 mg/kg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12. SZAKASZ: Ökológiai információk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12.1. Toxicitás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 vízi környezetre veszélyes, krónikus 2.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katégoria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Mérgező a vízi élővilágra, hosszan tartó károsodást okoz.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45" w:type="dxa"/>
                    <w:left w:w="30" w:type="dxa"/>
                    <w:bottom w:w="45" w:type="dxa"/>
                    <w:right w:w="45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Ökotoxikológiai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adat: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92"/>
              <w:gridCol w:w="1194"/>
              <w:gridCol w:w="1506"/>
              <w:gridCol w:w="1007"/>
              <w:gridCol w:w="92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Veszélyes összetevő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CAS-szám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hu-HU" w:eastAsia="hu-HU"/>
                    </w:rPr>
                    <w:t>eljárás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0C0C0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hydrocarbons,C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6,isoalkanes,&lt; 5% n-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hexane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IC50 alga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55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LC50 hal</w:t>
                  </w: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&gt; 1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 xml:space="preserve">EC50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daphnia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FFFFCC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hu-HU" w:eastAsia="hu-HU"/>
                    </w:rPr>
                    <w:t>3.87 mg/l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hu-HU" w:eastAsia="hu-HU"/>
                    </w:rPr>
                  </w:pP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12.2.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Perzisztencia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és lebonthatóság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12.3.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Bioakkumulációs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 képesség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12.4. A talajban való mobilitás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Vízben nem oldódó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 xml:space="preserve">12.5. A PBT- és a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-értékelés eredményei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adat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12.6. Egyéb káros hatások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Nincs elérhető kísérleti adat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GWP (globális felmelegedési potenciál vagy):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13. SZAKASZ: Ártalmatlanítási szempontok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13.1. Hulladékkezelési módszerek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Készítmény hulladékai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Az anyagot és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edényzetét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megfelelő módon ártalmatlanítani kell.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Csatornába, vagy a környezetbe juttatni nem szabad. Az anyagot a kijelölt gyűjtőhelyre kell vinni. 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Szennyezett csomagolóanyag: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Az ártalmatlanításnak a helyi, megyei és országos törvénykezéseknek meg kell felelnie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14. SZAKASZ: Szállításra vonatkozó információk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14.1. UN-szám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UN-szám: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1950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14.2. Az ENSZ szerinti megfelelő szállítási megnevezés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Megfelelő szállítási elnevezés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AEROSZOL, tűzveszélyes (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naphta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pentane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14.3. Szállítási veszélyességi osztály(ok)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2.1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Osztályozási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5F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14.4. Csomagolási csoport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Csomagolási osztály: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alkalmazandó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14.5. Környezeti veszélyek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IMDG - Tengerek szennyezését okozó anyagok: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Tengeri szennyező anyag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Környezetre veszélyes: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Igen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14.6. A felhasználót érintő különleges óvintézkedések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ADR/RID - Alagút korlátozási kód: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(D)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IMDG -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Ems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F-D, S-U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PAX: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IATA/ICAO - CAO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203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14.7. A MARPOL II. melléklete és az IBC kódex szerinti ömlesztett szállítás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Nem alkalmazható.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15. SZAKASZ: Szabályozással kapcsolatos információk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15.1. Az adott anyaggal vagy keverékkel kapcsolatos biztonsági, egészségügyi és környezetvédelmi előírások/jogszabályok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Biztonsági adatlap eleget tesz a jelenleg hatályos európai követelményeknek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1907/2006/EK (REACH) rendelet 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1272/2008/EK rendelet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 készítmény besorolása az aeroszolos flakonokra vonatkozó 75/324/EGK rendelet 2013/10/EU, 2008/47/EK direktívája alapján történt.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Munkavédelem: a 2007. évi LXXXII. törvénnyel, a 2004. évi XI. törvénnyel és az 1997. évi CII. törvénnyel módosított 1993. évi XCIII. törvény a munkavédelemről. Kémiai biztonság: a 2004. évi XXVI. törvénnyel módosított 2000. évi XXV. törvény a kémiai biztonságról; a 38/2008 (X.3.) EüM rendelet, az 52/2007. (XI.30.) EüM, a 26/2007. (VI.7.) EüM, a 33/2004. (IV.26.)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EszCsM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, a 30/2003. (V.21.) EüM rendeletek a veszélyes anyagokkal és a veszélyes készítményekkel kapcsolatos egyes eljárások, illetve tevékenységek részletes szabályairól szóló 44/2000. (XII.27.) EüM rendelet módosításáról; az 58/2007. (XII.22.) EüM–SZMM együttes rendelete a munkahelyek kémiai biztonságáról szóló 25/2000. (IX.30.) EüM–SZCSM együttes rendelet módosításáról. Hulladék: a 2004. évi XXIX. törvénnyel módosított 2000. évi XLIII. törvény a hulladékgazdálkodásról; 98/2001.(VI.15.) Kormányrendelet a veszélyes hulladékkal kapcsolatos tevékenységek végzsének feltételeiről, és a 16/2001. (VII. 18.) KöM rendelet a hulladékok jegyzékéről; a 195/2002. (IX.6.) Kormányrendelettel módosított 94/2002. (V.5.) Kormányrendelet a csomagolásról és a csomagolási hulladék kezelésének részletes szabályairól. Tűzvédelem: az 1996. évi XXXI. törvény a tűz elleni védekezésről, a műszaki mentésről és a tűzoltóságról; a 9/2008. (II.22.) ÖTM rendelet. 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8"/>
            </w:tblGrid>
            <w:tr w:rsidR="00F64B1F" w:rsidRPr="00F64B1F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hu-HU" w:eastAsia="hu-HU"/>
                    </w:rPr>
                    <w:t>15.2. Kémiai biztonsági értékelés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információ nem áll rendelkezésre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5000" w:type="pct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64B1F" w:rsidRPr="00F64B1F">
              <w:tc>
                <w:tcPr>
                  <w:tcW w:w="5000" w:type="pct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shd w:val="clear" w:color="auto" w:fill="DFDFD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val="hu-HU" w:eastAsia="hu-HU"/>
                    </w:rPr>
                    <w:t>16. SZAKASZ: Egyéb információk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*Figyelmeztető mondat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225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Fokozottan tűzveszélyes folyadék és gőz.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lastRenderedPageBreak/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280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Nyomás alatt lévő gázt tartalmaz; hő hatására robbanhat.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304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Lenyelve és a légutakba kerülve halálos lehet.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315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Bőrirritáló hatású.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336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Álmosságot vagy szédülést okozhat.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H</w:t>
                  </w:r>
                  <w:proofErr w:type="gram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411 :</w:t>
                  </w:r>
                  <w:proofErr w:type="gram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Mérgező a vízi élővilágra, hosszan tartó károsodást okoz.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9"/>
              <w:gridCol w:w="5809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acronyms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and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synonyms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: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TWA =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weight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average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STEL =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short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time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exposure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limit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VOC:</w:t>
                  </w:r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PBT =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persistant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toxic</w:t>
                  </w:r>
                  <w:proofErr w:type="spellEnd"/>
                </w:p>
              </w:tc>
            </w:tr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dotted" w:sz="6" w:space="0" w:color="C0C0C0"/>
                    <w:bottom w:val="dotted" w:sz="6" w:space="0" w:color="C0C0C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vPvB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=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persitant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very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bioaccumulative</w:t>
                  </w:r>
                  <w:proofErr w:type="spellEnd"/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Ezt a terméket a helyes ipari higiéniai gyakorlatoknak és mindenféle jogi előírásnak megfelelően kell tárolni, kezelni és használni. Az itt közölt információk a jelenlegi tudásunkon alapulnak és termékeinket a biztonsági szempontok figyelembe vételével írják le. Ez nem garantál semmiféle különleges tulajdonságot. A tanulmányok, a kutatás és az egészségügyi, biztonsági, valamint környezetvédelmi kockázatok </w:t>
                  </w:r>
                  <w:proofErr w:type="spellStart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céljáira</w:t>
                  </w:r>
                  <w:proofErr w:type="spellEnd"/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 xml:space="preserve"> történő jogos felhasználást kivéve, az alábbi dokumentumnak egyik részét sem szabad a CRC írásbeli engedélye nélkül bármiféle eljárással reprodukálni.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  <w:t> </w:t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hu-HU" w:eastAsia="hu-HU"/>
              </w:rPr>
            </w:pPr>
          </w:p>
          <w:tbl>
            <w:tblPr>
              <w:tblW w:w="45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5"/>
            </w:tblGrid>
            <w:tr w:rsidR="00F64B1F" w:rsidRPr="00F64B1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F64B1F" w:rsidRPr="00F64B1F" w:rsidRDefault="00F64B1F" w:rsidP="00F64B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hu-HU" w:eastAsia="hu-HU"/>
                    </w:rPr>
                  </w:pPr>
                  <w:r w:rsidRPr="00F64B1F">
                    <w:rPr>
                      <w:rFonts w:ascii="Arial" w:eastAsia="Times New Roman" w:hAnsi="Arial" w:cs="Arial"/>
                      <w:noProof/>
                      <w:color w:val="0000FF"/>
                      <w:sz w:val="20"/>
                      <w:szCs w:val="20"/>
                      <w:lang w:val="hu-HU" w:eastAsia="hu-HU"/>
                    </w:rPr>
                    <w:drawing>
                      <wp:inline distT="0" distB="0" distL="0" distR="0">
                        <wp:extent cx="571500" cy="571500"/>
                        <wp:effectExtent l="0" t="0" r="0" b="0"/>
                        <wp:docPr id="1" name="Kép 1" descr="http://www.crcind.com/wwwcrc/images/pdf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crcind.com/wwwcrc/images/pdf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4B1F" w:rsidRPr="00F64B1F" w:rsidRDefault="00F64B1F" w:rsidP="00F6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 w:eastAsia="hu-HU"/>
              </w:rPr>
            </w:pPr>
          </w:p>
        </w:tc>
      </w:tr>
    </w:tbl>
    <w:p w:rsidR="00F672A3" w:rsidRDefault="00F672A3"/>
    <w:sectPr w:rsidR="00F672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F"/>
    <w:rsid w:val="003F6DC6"/>
    <w:rsid w:val="00F64B1F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43BF"/>
  <w15:chartTrackingRefBased/>
  <w15:docId w15:val="{B6DB1DAE-AF85-4038-A24B-0407FC1B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F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blue">
    <w:name w:val="blue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18"/>
      <w:szCs w:val="18"/>
      <w:lang w:val="hu-HU" w:eastAsia="hu-HU"/>
    </w:rPr>
  </w:style>
  <w:style w:type="paragraph" w:customStyle="1" w:styleId="bluelink">
    <w:name w:val="bluelink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luenormal">
    <w:name w:val="bluenormal"/>
    <w:basedOn w:val="Norml"/>
    <w:rsid w:val="00F64B1F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bluesmall">
    <w:name w:val="bluesmall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bold">
    <w:name w:val="bold"/>
    <w:basedOn w:val="Norml"/>
    <w:rsid w:val="00F64B1F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bolddrkgry">
    <w:name w:val="bolddrkgry"/>
    <w:basedOn w:val="Norml"/>
    <w:rsid w:val="00F64B1F"/>
    <w:pPr>
      <w:shd w:val="clear" w:color="auto" w:fill="9999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boldgroot">
    <w:name w:val="boldgroot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u w:val="single"/>
      <w:lang w:val="hu-HU" w:eastAsia="hu-HU"/>
    </w:rPr>
  </w:style>
  <w:style w:type="paragraph" w:customStyle="1" w:styleId="boldschuin">
    <w:name w:val="boldschuin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content">
    <w:name w:val="content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val="hu-HU" w:eastAsia="hu-HU"/>
    </w:rPr>
  </w:style>
  <w:style w:type="paragraph" w:customStyle="1" w:styleId="contentgroen">
    <w:name w:val="contentgroen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green">
    <w:name w:val="green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CC00"/>
      <w:sz w:val="18"/>
      <w:szCs w:val="18"/>
      <w:lang w:val="hu-HU" w:eastAsia="hu-HU"/>
    </w:rPr>
  </w:style>
  <w:style w:type="paragraph" w:customStyle="1" w:styleId="groenunderline">
    <w:name w:val="groenunderline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u w:val="single"/>
      <w:lang w:val="hu-HU" w:eastAsia="hu-HU"/>
    </w:rPr>
  </w:style>
  <w:style w:type="paragraph" w:customStyle="1" w:styleId="input">
    <w:name w:val="input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hu-HU" w:eastAsia="hu-HU"/>
    </w:rPr>
  </w:style>
  <w:style w:type="paragraph" w:customStyle="1" w:styleId="inputbold">
    <w:name w:val="inputbold"/>
    <w:basedOn w:val="Norml"/>
    <w:rsid w:val="00F6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link">
    <w:name w:val="link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7"/>
      <w:szCs w:val="17"/>
      <w:lang w:val="hu-HU" w:eastAsia="hu-HU"/>
    </w:rPr>
  </w:style>
  <w:style w:type="paragraph" w:customStyle="1" w:styleId="linkbold">
    <w:name w:val="linkbold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17"/>
      <w:szCs w:val="17"/>
      <w:lang w:val="hu-HU" w:eastAsia="hu-HU"/>
    </w:rPr>
  </w:style>
  <w:style w:type="paragraph" w:customStyle="1" w:styleId="linkgrijs">
    <w:name w:val="linkgrijs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999999"/>
      <w:sz w:val="17"/>
      <w:szCs w:val="17"/>
      <w:u w:val="single"/>
      <w:lang w:val="hu-HU" w:eastAsia="hu-HU"/>
    </w:rPr>
  </w:style>
  <w:style w:type="paragraph" w:customStyle="1" w:styleId="linkgrijsbold">
    <w:name w:val="linkgrijsbold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7"/>
      <w:szCs w:val="17"/>
      <w:u w:val="single"/>
      <w:lang w:val="hu-HU" w:eastAsia="hu-HU"/>
    </w:rPr>
  </w:style>
  <w:style w:type="paragraph" w:customStyle="1" w:styleId="menu">
    <w:name w:val="menu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hu-HU" w:eastAsia="hu-HU"/>
    </w:rPr>
  </w:style>
  <w:style w:type="paragraph" w:customStyle="1" w:styleId="menubld">
    <w:name w:val="menubld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menubold">
    <w:name w:val="menubold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menuhd">
    <w:name w:val="menuhd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8"/>
      <w:szCs w:val="28"/>
      <w:lang w:val="hu-HU" w:eastAsia="hu-HU"/>
    </w:rPr>
  </w:style>
  <w:style w:type="paragraph" w:customStyle="1" w:styleId="normal">
    <w:name w:val="normal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hu-HU" w:eastAsia="hu-HU"/>
    </w:rPr>
  </w:style>
  <w:style w:type="paragraph" w:customStyle="1" w:styleId="pagehd">
    <w:name w:val="pagehd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8000"/>
      <w:sz w:val="32"/>
      <w:szCs w:val="32"/>
      <w:lang w:val="hu-HU" w:eastAsia="hu-HU"/>
    </w:rPr>
  </w:style>
  <w:style w:type="paragraph" w:customStyle="1" w:styleId="readonly">
    <w:name w:val="readonly"/>
    <w:basedOn w:val="Norml"/>
    <w:rsid w:val="00F64B1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red">
    <w:name w:val="red"/>
    <w:basedOn w:val="Norml"/>
    <w:rsid w:val="00F64B1F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val="hu-HU" w:eastAsia="hu-HU"/>
    </w:rPr>
  </w:style>
  <w:style w:type="paragraph" w:customStyle="1" w:styleId="redbig">
    <w:name w:val="redbig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val="hu-HU" w:eastAsia="hu-HU"/>
    </w:rPr>
  </w:style>
  <w:style w:type="paragraph" w:customStyle="1" w:styleId="redline">
    <w:name w:val="redline"/>
    <w:basedOn w:val="Norml"/>
    <w:rsid w:val="00F64B1F"/>
    <w:pPr>
      <w:spacing w:before="100" w:beforeAutospacing="1" w:after="100" w:afterAutospacing="1" w:line="45" w:lineRule="atLeast"/>
    </w:pPr>
    <w:rPr>
      <w:rFonts w:ascii="Times New Roman" w:eastAsia="Times New Roman" w:hAnsi="Times New Roman" w:cs="Times New Roman"/>
      <w:color w:val="FF0000"/>
      <w:sz w:val="24"/>
      <w:szCs w:val="24"/>
      <w:lang w:val="hu-HU" w:eastAsia="hu-HU"/>
    </w:rPr>
  </w:style>
  <w:style w:type="paragraph" w:customStyle="1" w:styleId="redtabhd">
    <w:name w:val="redtabhd"/>
    <w:basedOn w:val="Norml"/>
    <w:rsid w:val="00F64B1F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val="hu-HU" w:eastAsia="hu-HU"/>
    </w:rPr>
  </w:style>
  <w:style w:type="paragraph" w:customStyle="1" w:styleId="remark">
    <w:name w:val="remark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ret">
    <w:name w:val="ret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val="hu-HU" w:eastAsia="hu-HU"/>
    </w:rPr>
  </w:style>
  <w:style w:type="paragraph" w:customStyle="1" w:styleId="small">
    <w:name w:val="small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aref">
    <w:name w:val="smallaref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000000"/>
      <w:sz w:val="18"/>
      <w:szCs w:val="18"/>
      <w:u w:val="single"/>
      <w:lang w:val="hu-HU" w:eastAsia="hu-HU"/>
    </w:rPr>
  </w:style>
  <w:style w:type="paragraph" w:customStyle="1" w:styleId="smallbold">
    <w:name w:val="smallbold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boldgreen">
    <w:name w:val="smallboldgreen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hu-HU" w:eastAsia="hu-HU"/>
    </w:rPr>
  </w:style>
  <w:style w:type="paragraph" w:customStyle="1" w:styleId="smallgr">
    <w:name w:val="smallgr"/>
    <w:basedOn w:val="Norml"/>
    <w:rsid w:val="00F64B1F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grbold">
    <w:name w:val="smallgrbold"/>
    <w:basedOn w:val="Norml"/>
    <w:rsid w:val="00F64B1F"/>
    <w:pPr>
      <w:shd w:val="clear" w:color="auto" w:fill="DDDDD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val="hu-HU" w:eastAsia="hu-HU"/>
    </w:rPr>
  </w:style>
  <w:style w:type="paragraph" w:customStyle="1" w:styleId="smallink">
    <w:name w:val="smallink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6600"/>
      <w:sz w:val="14"/>
      <w:szCs w:val="14"/>
      <w:lang w:val="hu-HU" w:eastAsia="hu-HU"/>
    </w:rPr>
  </w:style>
  <w:style w:type="paragraph" w:customStyle="1" w:styleId="smalllcou">
    <w:name w:val="smalllcou"/>
    <w:basedOn w:val="Norml"/>
    <w:rsid w:val="00F64B1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18"/>
      <w:szCs w:val="18"/>
      <w:lang w:val="hu-HU" w:eastAsia="hu-HU"/>
    </w:rPr>
  </w:style>
  <w:style w:type="paragraph" w:customStyle="1" w:styleId="smallleft">
    <w:name w:val="smallleft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smalllinkgrijs">
    <w:name w:val="smalllinkgrijs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val="hu-HU" w:eastAsia="hu-HU"/>
    </w:rPr>
  </w:style>
  <w:style w:type="paragraph" w:customStyle="1" w:styleId="smallright">
    <w:name w:val="smallright"/>
    <w:basedOn w:val="Norml"/>
    <w:rsid w:val="00F64B1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val="hu-HU" w:eastAsia="hu-HU"/>
    </w:rPr>
  </w:style>
  <w:style w:type="paragraph" w:customStyle="1" w:styleId="tablehd">
    <w:name w:val="tablehd"/>
    <w:basedOn w:val="Norml"/>
    <w:rsid w:val="00F64B1F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20"/>
      <w:szCs w:val="20"/>
      <w:lang w:val="hu-HU" w:eastAsia="hu-HU"/>
    </w:rPr>
  </w:style>
  <w:style w:type="paragraph" w:customStyle="1" w:styleId="tablehdb">
    <w:name w:val="tablehdb"/>
    <w:basedOn w:val="Norml"/>
    <w:rsid w:val="00F64B1F"/>
    <w:pPr>
      <w:shd w:val="clear" w:color="auto" w:fill="00FF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lang w:val="hu-HU" w:eastAsia="hu-HU"/>
    </w:rPr>
  </w:style>
  <w:style w:type="paragraph" w:customStyle="1" w:styleId="tablehddg">
    <w:name w:val="tablehddg"/>
    <w:basedOn w:val="Norml"/>
    <w:rsid w:val="00F64B1F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6666"/>
      <w:sz w:val="24"/>
      <w:szCs w:val="24"/>
      <w:lang w:val="hu-HU" w:eastAsia="hu-HU"/>
    </w:rPr>
  </w:style>
  <w:style w:type="paragraph" w:customStyle="1" w:styleId="tbhdsm">
    <w:name w:val="tbhdsm"/>
    <w:basedOn w:val="Norml"/>
    <w:rsid w:val="00F64B1F"/>
    <w:pP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8000"/>
      <w:sz w:val="18"/>
      <w:szCs w:val="18"/>
      <w:lang w:val="hu-HU" w:eastAsia="hu-HU"/>
    </w:rPr>
  </w:style>
  <w:style w:type="paragraph" w:customStyle="1" w:styleId="tblright">
    <w:name w:val="tblright"/>
    <w:basedOn w:val="Norml"/>
    <w:rsid w:val="00F64B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customStyle="1" w:styleId="titel">
    <w:name w:val="titel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val="hu-HU" w:eastAsia="hu-HU"/>
    </w:rPr>
  </w:style>
  <w:style w:type="paragraph" w:customStyle="1" w:styleId="titelgroot">
    <w:name w:val="titelgroot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val="hu-HU" w:eastAsia="hu-HU"/>
    </w:rPr>
  </w:style>
  <w:style w:type="paragraph" w:customStyle="1" w:styleId="titelgrootgroen">
    <w:name w:val="titelgrootgroen"/>
    <w:basedOn w:val="Norml"/>
    <w:rsid w:val="00F64B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00"/>
      <w:sz w:val="24"/>
      <w:szCs w:val="24"/>
      <w:lang w:val="hu-HU" w:eastAsia="hu-HU"/>
    </w:rPr>
  </w:style>
  <w:style w:type="paragraph" w:customStyle="1" w:styleId="welcome">
    <w:name w:val="welcome"/>
    <w:basedOn w:val="Norml"/>
    <w:rsid w:val="00F64B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u-HU" w:eastAsia="hu-HU"/>
    </w:rPr>
  </w:style>
  <w:style w:type="paragraph" w:customStyle="1" w:styleId="ita">
    <w:name w:val="ita"/>
    <w:basedOn w:val="Norml"/>
    <w:rsid w:val="00F64B1F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990099"/>
      <w:sz w:val="20"/>
      <w:szCs w:val="20"/>
      <w:lang w:val="hu-HU" w:eastAsia="hu-HU"/>
    </w:rPr>
  </w:style>
  <w:style w:type="paragraph" w:customStyle="1" w:styleId="litle">
    <w:name w:val="litle"/>
    <w:basedOn w:val="Norml"/>
    <w:rsid w:val="00F64B1F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litlem">
    <w:name w:val="litlem"/>
    <w:basedOn w:val="Norml"/>
    <w:rsid w:val="00F64B1F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hu-HU" w:eastAsia="hu-HU"/>
    </w:rPr>
  </w:style>
  <w:style w:type="paragraph" w:customStyle="1" w:styleId="nor">
    <w:name w:val="nor"/>
    <w:basedOn w:val="Norml"/>
    <w:rsid w:val="00F64B1F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norm">
    <w:name w:val="norm"/>
    <w:basedOn w:val="Norml"/>
    <w:rsid w:val="00F64B1F"/>
    <w:pPr>
      <w:shd w:val="clear" w:color="auto" w:fill="99CC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hu-HU" w:eastAsia="hu-HU"/>
    </w:rPr>
  </w:style>
  <w:style w:type="paragraph" w:customStyle="1" w:styleId="par">
    <w:name w:val="par"/>
    <w:basedOn w:val="Norml"/>
    <w:rsid w:val="00F64B1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parm">
    <w:name w:val="parm"/>
    <w:basedOn w:val="Norml"/>
    <w:rsid w:val="00F64B1F"/>
    <w:pPr>
      <w:shd w:val="clear" w:color="auto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subtitle">
    <w:name w:val="subtitle"/>
    <w:basedOn w:val="Norml"/>
    <w:rsid w:val="00F64B1F"/>
    <w:pP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val="hu-HU" w:eastAsia="hu-HU"/>
    </w:rPr>
  </w:style>
  <w:style w:type="paragraph" w:customStyle="1" w:styleId="title">
    <w:name w:val="title"/>
    <w:basedOn w:val="Norml"/>
    <w:rsid w:val="00F64B1F"/>
    <w:pPr>
      <w:keepNext/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hd w:val="clear" w:color="auto" w:fill="DFDFD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64B1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64B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www.crceurope.com/csp/web/msds.csp?document=BDS001904_15_1_20170629_%20&amp;idx=28400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2230</Words>
  <Characters>15392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Ujvári Ferenc</dc:creator>
  <cp:keywords/>
  <dc:description/>
  <cp:lastModifiedBy>Ujvári Ferenc</cp:lastModifiedBy>
  <cp:revision>1</cp:revision>
  <dcterms:created xsi:type="dcterms:W3CDTF">2017-10-17T09:28:00Z</dcterms:created>
  <dcterms:modified xsi:type="dcterms:W3CDTF">2017-10-17T09:29:00Z</dcterms:modified>
</cp:coreProperties>
</file>